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关于明确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乡镇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革命老区转移支付资金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账务处理的函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根据《袁州区革命老区转移支付资金管理办法》（袁财预发﹝20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</w:rPr>
        <w:t>﹞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号）文件精神，为规范账务处理，现对涉及乡镇有关账务处理明确如下：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区财政国库股总预算会计账务处理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区财政下达的革命老区转移支付补助资金文件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借：与下级往来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贷：其他应付款—乡镇革命老区项目资金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区国库直付革命老区项目资金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借：其他应付款—乡镇革命老区项目资金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贷：国库存款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乡镇总预算会计账务处理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乡镇收到区财政下达的革命老区转移支付补助资金文件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305" w:right="0" w:rightChars="0" w:firstLine="480" w:firstLineChars="15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借：其他应收款—区国库革命老区项目资金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305" w:right="0" w:rightChars="0" w:firstLine="480" w:firstLineChars="15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贷：与上级往来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305" w:right="0" w:rightChars="0" w:firstLine="480" w:firstLineChars="15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同时，借：一般预算支出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贷：应付代管资金—革命老区项目资金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区国库直付革命老区项目资金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借：应付代管资金—革命老区项目资金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贷：其他应收款—区国库革命老区项目资金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</w:rPr>
        <w:t>年底账务处理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305" w:right="0" w:rightChars="0" w:firstLine="800" w:firstLineChars="25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借：与上级往来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贷：补助收入—革命老区项目资金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305" w:right="0" w:rightChars="0" w:firstLine="480" w:firstLineChars="15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928" w:right="1474" w:bottom="181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C4F70"/>
    <w:multiLevelType w:val="singleLevel"/>
    <w:tmpl w:val="57FC4F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2U4N2NjMmI0Yjg5Nzk2ZmRhYTE4YmYwMWJmMzkifQ=="/>
  </w:docVars>
  <w:rsids>
    <w:rsidRoot w:val="00137AD5"/>
    <w:rsid w:val="001153E8"/>
    <w:rsid w:val="00137AD5"/>
    <w:rsid w:val="0032416A"/>
    <w:rsid w:val="003A65BD"/>
    <w:rsid w:val="00437332"/>
    <w:rsid w:val="004A7D9A"/>
    <w:rsid w:val="004D56E8"/>
    <w:rsid w:val="005719CA"/>
    <w:rsid w:val="007907B9"/>
    <w:rsid w:val="0090498A"/>
    <w:rsid w:val="009775E0"/>
    <w:rsid w:val="00AB5462"/>
    <w:rsid w:val="00BC2555"/>
    <w:rsid w:val="00C9146D"/>
    <w:rsid w:val="0B720314"/>
    <w:rsid w:val="23B85933"/>
    <w:rsid w:val="24C300D7"/>
    <w:rsid w:val="4A45546D"/>
    <w:rsid w:val="770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Char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15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5 Char"/>
    <w:basedOn w:val="11"/>
    <w:link w:val="6"/>
    <w:qFormat/>
    <w:uiPriority w:val="9"/>
    <w:rPr>
      <w:b/>
      <w:bCs/>
      <w:sz w:val="28"/>
      <w:szCs w:val="28"/>
    </w:rPr>
  </w:style>
  <w:style w:type="character" w:customStyle="1" w:styleId="17">
    <w:name w:val="标题 Char"/>
    <w:basedOn w:val="11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8">
    <w:name w:val="副标题 Char"/>
    <w:basedOn w:val="11"/>
    <w:link w:val="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9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3B80-6223-4558-A984-26B2B5C8EC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355</Words>
  <Characters>363</Characters>
  <Lines>3</Lines>
  <Paragraphs>1</Paragraphs>
  <TotalTime>0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2016-10-10T07:29:00Z</dcterms:created>
  <dc:creator>PC</dc:creator>
  <cp:lastModifiedBy>Administrator</cp:lastModifiedBy>
  <cp:lastPrinted>2016-10-11T02:40:00Z</cp:lastPrinted>
  <dcterms:modified xsi:type="dcterms:W3CDTF">2023-07-05T07:13:50Z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59CCA0090824428F9C663BBC59DB8EA1_12</vt:lpwstr>
  </property>
</Properties>
</file>